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81" w:type="dxa"/>
        <w:tblInd w:w="250" w:type="dxa"/>
        <w:tblLook w:val="0000" w:firstRow="0" w:lastRow="0" w:firstColumn="0" w:lastColumn="0" w:noHBand="0" w:noVBand="0"/>
      </w:tblPr>
      <w:tblGrid>
        <w:gridCol w:w="4923"/>
        <w:gridCol w:w="4458"/>
      </w:tblGrid>
      <w:tr>
        <w:tblPrEx/>
        <w:trPr>
          <w:trHeight w:val="4536"/>
        </w:trPr>
        <w:tc>
          <w:tcPr>
            <w:tcW w:w="4923" w:type="dxa"/>
            <w:textDirection w:val="lrTb"/>
            <w:noWrap w:val="false"/>
          </w:tcPr>
          <w:p>
            <w:pPr>
              <w:pStyle w:val="847"/>
            </w:pPr>
            <w:r/>
            <w:bookmarkStart w:id="0" w:name="_GoBack"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-386715</wp:posOffset>
                      </wp:positionV>
                      <wp:extent cx="3000375" cy="2847975"/>
                      <wp:effectExtent l="0" t="0" r="9525" b="9525"/>
                      <wp:wrapNone/>
                      <wp:docPr id="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0375" cy="284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r/>
                                  <w:r/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</w:rPr>
                                  </w:pPr>
                                  <w:r>
                                    <w:rPr>
                                      <w:color w:val="1f497d"/>
                                    </w:rPr>
                                  </w:r>
                                  <w:r>
                                    <w:rPr>
                                      <w:color w:val="1f497d"/>
                                    </w:rPr>
                                  </w:r>
                                  <w:r>
                                    <w:rPr>
                                      <w:color w:val="1f497d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ФЕДЕРАЛЬНАЯ СЛУЖБА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ГОСУДАРСТВЕННОЙ  РЕГИСТРАЦИИ,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КАДАСТРА И КАРТОГРАФИИ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(РОСРЕЕСТР)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Управление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Федеральной службы государственной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регистрации, кадастра и картографии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по Тульской области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(Управление Росреестра по Тульской области)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Сойфера ул., д. 20а, Тула, 300041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тел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 (4872) 77-34-46;  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факс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(4872) 30-10-44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e-mail: </w:t>
                                  </w:r>
                                  <w:hyperlink r:id="rId10" w:tooltip="mailto:71_upr@rosreestr.ru" w:history="1">
                                    <w:r>
                                      <w:rPr>
                                        <w:rStyle w:val="851"/>
                                        <w:color w:val="1f497d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71_upr@rosreestr.ru</w:t>
                                    </w:r>
                                  </w:hyperlink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https://www. rosreestr.ru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4140" w:leader="none"/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№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4140" w:leader="none"/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на № 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от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pPr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 xml:space="preserve">14.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0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3.201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2№02/8-1260 ЕЛ</w:t>
                                  </w:r>
                                  <w:r>
                                    <w:rPr>
                                      <w:color w:val="ffffff"/>
                                    </w:rPr>
                                  </w:r>
                                  <w:r>
                                    <w:rPr>
                                      <w:color w:val="ffffff"/>
                                    </w:rPr>
                                  </w:r>
                                </w:p>
                                <w:p>
                                  <w:pP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О предоставлении информации</w:t>
                                  </w:r>
                                  <w: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r>
                                  <w: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1" type="#_x0000_t1" style="position:absolute;z-index:251658240;o:allowoverlap:true;o:allowincell:true;mso-position-horizontal-relative:text;margin-left:-11.40pt;mso-position-horizontal:absolute;mso-position-vertical-relative:text;margin-top:-30.45pt;mso-position-vertical:absolute;width:236.25pt;height:224.25pt;mso-wrap-distance-left:9.00pt;mso-wrap-distance-top:0.00pt;mso-wrap-distance-right:9.00pt;mso-wrap-distance-bottom:0.00pt;v-text-anchor:top;visibility:visible;" fillcolor="#FFFFFF" strokecolor="#FFFFFF" strokeweight="0.00pt">
                      <v:textbox inset="0,0,0,0">
                        <w:txbxContent>
                          <w:p>
                            <w:r/>
                            <w:r/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</w:rPr>
                            </w:pPr>
                            <w:r>
                              <w:rPr>
                                <w:color w:val="1f497d"/>
                              </w:rPr>
                            </w:r>
                            <w:r>
                              <w:rPr>
                                <w:color w:val="1f497d"/>
                              </w:rPr>
                            </w:r>
                            <w:r>
                              <w:rPr>
                                <w:color w:val="1f497d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ФЕДЕРАЛЬНАЯ СЛУЖБА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ГОСУДАРСТВЕННОЙ  РЕГИСТРАЦИИ,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КАДАСТРА И КАРТОГРАФИИ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(РОСРЕЕСТР)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Управление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Федеральной службы государственной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регистрации, кадастра и картографии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по Тульской области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(Управление Росреестра по Тульской области)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Сойфера ул., д. 20а, Тула, 300041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тел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.  (4872) 77-34-46;  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факс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 (4872) 30-10-44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e-mail: </w:t>
                            </w:r>
                            <w:hyperlink r:id="rId10" w:tooltip="mailto:71_upr@rosreestr.ru" w:history="1">
                              <w:r>
                                <w:rPr>
                                  <w:rStyle w:val="851"/>
                                  <w:color w:val="1f497d"/>
                                  <w:sz w:val="20"/>
                                  <w:szCs w:val="20"/>
                                  <w:lang w:val="en-US"/>
                                </w:rPr>
                                <w:t xml:space="preserve">71_upr@rosreestr.ru</w:t>
                              </w:r>
                            </w:hyperlink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, https://www. rosreestr.ru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4140" w:leader="none"/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№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4140" w:leader="none"/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на № 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от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14.</w:t>
                            </w:r>
                            <w:r>
                              <w:rPr>
                                <w:color w:val="ffffff"/>
                              </w:rPr>
                              <w:t xml:space="preserve">0</w:t>
                            </w:r>
                            <w:r>
                              <w:rPr>
                                <w:color w:val="ffffff"/>
                              </w:rPr>
                              <w:t xml:space="preserve">3.201</w:t>
                            </w:r>
                            <w:r>
                              <w:rPr>
                                <w:color w:val="ffffff"/>
                              </w:rPr>
                              <w:t xml:space="preserve">2№02/8-1260 ЕЛ</w:t>
                            </w:r>
                            <w:r>
                              <w:rPr>
                                <w:color w:val="ffffff"/>
                              </w:rPr>
                            </w:r>
                            <w:r>
                              <w:rPr>
                                <w:color w:val="ffffff"/>
                              </w:rPr>
                            </w:r>
                          </w:p>
                          <w:p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О предоставлении информации</w:t>
                            </w: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  <w:tc>
          <w:tcPr>
            <w:tcW w:w="4458" w:type="dxa"/>
            <w:textDirection w:val="lrTb"/>
            <w:noWrap w:val="false"/>
          </w:tcPr>
          <w:p>
            <w:pPr>
              <w:pStyle w:val="8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Кадастровым инженерам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списку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7"/>
              <w:ind w:left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before="100" w:beforeAutospacing="1" w:after="100" w:afterAutospacing="1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7"/>
              <w:jc w:val="center"/>
            </w:pPr>
            <w:r/>
            <w:bookmarkEnd w:id="0"/>
            <w:r/>
            <w:r/>
          </w:p>
        </w:tc>
      </w:tr>
    </w:tbl>
    <w:p>
      <w:pPr>
        <w:jc w:val="both"/>
        <w:tabs>
          <w:tab w:val="left" w:pos="5370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tabs>
          <w:tab w:val="left" w:pos="5370" w:leader="none"/>
        </w:tabs>
        <w:rPr>
          <w:highlight w:val="none"/>
        </w:rPr>
      </w:pPr>
      <w:r>
        <w:t xml:space="preserve">О проведении брифинга</w:t>
      </w:r>
      <w:r>
        <w:rPr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Уважаемые коллеги!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Управление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Росреестра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по Тульской области приглашает Вас на безвозмездной основе принять участие в брифинге с кадастровыми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инженерами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который состоится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19.09.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5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в 1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-00 часов по адресу: г. Тула, ул. Сойфера, д. 20-а, актовый зал.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Брифинг будет проходить по следующим вопросам: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1. Соблюдение правил землепользования и застройки, в части с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облюдения предельных размеров земельных участков, при изменении вида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разрешенного использования или преобразовании земельных участков.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Обеспечение земельных участков доступом - проходом или проездом от земельных участков или земель общего пользования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, в том числе при уточнении границ земельных участков.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Соблюдение статьи 7 Федерального закона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от 16.07.1998 № 102-ФЗ «Об ипотеке (залоге недвижимости)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» и статьи 54 Федерального закона от 13.07.2015 № 218-ФЗ «О государственной регистрации недвижимости» при государственном кадастровом учете изменений в случае, если в ЕГРН имеются сведения об ипотеке объектов недвижимости.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Уточнение границ ранее учтенных земельных участков, расположенных полностью или частично в границах береговой полосы (письмо Росреестра от 23.07.2025 № 14-7349-ТГ/25).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5.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Типичные ошибки, которые допускают кадастровые инженеры при п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одготовке межевых и технических планов.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6. Разное.</w:t>
      </w:r>
      <w:bookmarkStart w:id="0" w:name="undefined"/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bookmarkEnd w:id="0"/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line="253" w:lineRule="atLeast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Дополнительные вопросы для обсуждения можно направлять до 17.09.2025 по адресу электронной почты: tanya.khrynina@mail.ru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с помет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</w:rPr>
        <w:t xml:space="preserve">ой «вопросы для брифинга с кадастровыми инженерами».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Н.Н. Болсуновская</w:t>
      </w:r>
      <w:r>
        <w:rPr>
          <w:sz w:val="28"/>
          <w:szCs w:val="28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</w:rPr>
      </w:r>
    </w:p>
    <w:p>
      <w:pPr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</w:rPr>
        <w:t xml:space="preserve">Хрынина Татьяна Олеговна, 30-15-98</w:t>
      </w:r>
      <w:r>
        <w:rPr>
          <w:b w:val="0"/>
          <w:bCs w:val="0"/>
          <w:sz w:val="20"/>
          <w:szCs w:val="20"/>
          <w:highlight w:val="none"/>
        </w:rPr>
      </w:r>
    </w:p>
    <w:sectPr>
      <w:footnotePr/>
      <w:endnotePr/>
      <w:type w:val="nextPage"/>
      <w:pgSz w:w="11906" w:h="16838" w:orient="portrait"/>
      <w:pgMar w:top="709" w:right="851" w:bottom="1418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50" w:hanging="5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50" w:hanging="54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844"/>
    <w:link w:val="841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2 Char"/>
    <w:basedOn w:val="844"/>
    <w:link w:val="842"/>
    <w:uiPriority w:val="9"/>
    <w:rPr>
      <w:rFonts w:ascii="Arial" w:hAnsi="Arial" w:eastAsia="Arial" w:cs="Arial"/>
      <w:sz w:val="34"/>
    </w:rPr>
  </w:style>
  <w:style w:type="character" w:styleId="670">
    <w:name w:val="Heading 3 Char"/>
    <w:basedOn w:val="844"/>
    <w:link w:val="843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40"/>
    <w:next w:val="840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basedOn w:val="844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40"/>
    <w:next w:val="840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basedOn w:val="844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40"/>
    <w:next w:val="840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basedOn w:val="844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40"/>
    <w:next w:val="840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basedOn w:val="844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40"/>
    <w:next w:val="840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44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40"/>
    <w:next w:val="840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basedOn w:val="844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0"/>
    <w:next w:val="840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4"/>
    <w:link w:val="684"/>
    <w:uiPriority w:val="10"/>
    <w:rPr>
      <w:sz w:val="48"/>
      <w:szCs w:val="48"/>
    </w:rPr>
  </w:style>
  <w:style w:type="paragraph" w:styleId="686">
    <w:name w:val="Subtitle"/>
    <w:basedOn w:val="840"/>
    <w:next w:val="840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4"/>
    <w:link w:val="686"/>
    <w:uiPriority w:val="11"/>
    <w:rPr>
      <w:sz w:val="24"/>
      <w:szCs w:val="24"/>
    </w:rPr>
  </w:style>
  <w:style w:type="paragraph" w:styleId="688">
    <w:name w:val="Quote"/>
    <w:basedOn w:val="840"/>
    <w:next w:val="840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0"/>
    <w:next w:val="840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4"/>
    <w:link w:val="692"/>
    <w:uiPriority w:val="99"/>
  </w:style>
  <w:style w:type="character" w:styleId="694">
    <w:name w:val="Footer Char"/>
    <w:basedOn w:val="844"/>
    <w:link w:val="853"/>
    <w:uiPriority w:val="99"/>
  </w:style>
  <w:style w:type="paragraph" w:styleId="695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853"/>
    <w:uiPriority w:val="99"/>
  </w:style>
  <w:style w:type="table" w:styleId="697">
    <w:name w:val="Table Grid"/>
    <w:basedOn w:val="8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7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1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4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4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rPr>
      <w:sz w:val="24"/>
      <w:szCs w:val="24"/>
    </w:rPr>
  </w:style>
  <w:style w:type="paragraph" w:styleId="841">
    <w:name w:val="Heading 1"/>
    <w:basedOn w:val="840"/>
    <w:next w:val="840"/>
    <w:link w:val="857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42">
    <w:name w:val="Heading 2"/>
    <w:basedOn w:val="840"/>
    <w:next w:val="840"/>
    <w:link w:val="856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43">
    <w:name w:val="Heading 3"/>
    <w:basedOn w:val="840"/>
    <w:link w:val="855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paragraph" w:styleId="847">
    <w:name w:val="Body Text"/>
    <w:basedOn w:val="840"/>
    <w:pPr>
      <w:jc w:val="both"/>
    </w:pPr>
  </w:style>
  <w:style w:type="paragraph" w:styleId="848">
    <w:name w:val="Balloon Text"/>
    <w:basedOn w:val="840"/>
    <w:semiHidden/>
    <w:rPr>
      <w:rFonts w:ascii="Tahoma" w:hAnsi="Tahoma" w:cs="Tahoma"/>
      <w:sz w:val="16"/>
      <w:szCs w:val="16"/>
    </w:rPr>
  </w:style>
  <w:style w:type="paragraph" w:styleId="849">
    <w:name w:val="Document Map"/>
    <w:basedOn w:val="840"/>
    <w:link w:val="850"/>
    <w:rPr>
      <w:rFonts w:ascii="Tahoma" w:hAnsi="Tahoma" w:cs="Tahoma"/>
      <w:sz w:val="16"/>
      <w:szCs w:val="16"/>
    </w:rPr>
  </w:style>
  <w:style w:type="character" w:styleId="850" w:customStyle="1">
    <w:name w:val="Схема документа Знак"/>
    <w:link w:val="849"/>
    <w:rPr>
      <w:rFonts w:ascii="Tahoma" w:hAnsi="Tahoma" w:cs="Tahoma"/>
      <w:sz w:val="16"/>
      <w:szCs w:val="16"/>
    </w:rPr>
  </w:style>
  <w:style w:type="character" w:styleId="851">
    <w:name w:val="Hyperlink"/>
    <w:rPr>
      <w:color w:val="0000ff"/>
      <w:u w:val="single"/>
    </w:rPr>
  </w:style>
  <w:style w:type="paragraph" w:styleId="852">
    <w:name w:val="List Paragraph"/>
    <w:basedOn w:val="840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853">
    <w:name w:val="Footer"/>
    <w:basedOn w:val="840"/>
    <w:link w:val="854"/>
    <w:pPr>
      <w:tabs>
        <w:tab w:val="center" w:pos="4677" w:leader="none"/>
        <w:tab w:val="right" w:pos="9355" w:leader="none"/>
      </w:tabs>
    </w:pPr>
  </w:style>
  <w:style w:type="character" w:styleId="854" w:customStyle="1">
    <w:name w:val="Нижний колонтитул Знак"/>
    <w:basedOn w:val="844"/>
    <w:link w:val="853"/>
    <w:rPr>
      <w:sz w:val="24"/>
      <w:szCs w:val="24"/>
    </w:rPr>
  </w:style>
  <w:style w:type="character" w:styleId="855" w:customStyle="1">
    <w:name w:val="Заголовок 3 Знак"/>
    <w:basedOn w:val="844"/>
    <w:link w:val="843"/>
    <w:uiPriority w:val="9"/>
    <w:rPr>
      <w:b/>
      <w:bCs/>
      <w:sz w:val="27"/>
      <w:szCs w:val="27"/>
    </w:rPr>
  </w:style>
  <w:style w:type="character" w:styleId="856" w:customStyle="1">
    <w:name w:val="Заголовок 2 Знак"/>
    <w:basedOn w:val="844"/>
    <w:link w:val="842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57" w:customStyle="1">
    <w:name w:val="Заголовок 1 Знак"/>
    <w:basedOn w:val="844"/>
    <w:link w:val="841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58" w:customStyle="1">
    <w:name w:val="col-xs-12"/>
    <w:basedOn w:val="844"/>
  </w:style>
  <w:style w:type="character" w:styleId="859" w:customStyle="1">
    <w:name w:val="fontstyle01"/>
    <w:basedOn w:val="844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71_upr@rosree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CCA82-91F8-4444-8256-CF13AF46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FSR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ua100kuprin</dc:creator>
  <cp:keywords/>
  <cp:revision>9</cp:revision>
  <dcterms:created xsi:type="dcterms:W3CDTF">2024-06-13T07:00:00Z</dcterms:created>
  <dcterms:modified xsi:type="dcterms:W3CDTF">2025-09-05T06:43:36Z</dcterms:modified>
</cp:coreProperties>
</file>